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87"/>
        <w:gridCol w:w="2067"/>
        <w:gridCol w:w="4787"/>
        <w:gridCol w:w="760"/>
      </w:tblGrid>
      <w:tr w:rsidR="00185E97" w:rsidRPr="000E07C9" w14:paraId="4437FDA3" w14:textId="77777777" w:rsidTr="00185E97">
        <w:trPr>
          <w:trHeight w:val="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80C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F52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t>Наименование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A43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bCs/>
              </w:rPr>
              <w:t>Технические характеристики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E47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t>Кол-во</w:t>
            </w:r>
          </w:p>
        </w:tc>
      </w:tr>
      <w:tr w:rsidR="00185E97" w:rsidRPr="000E07C9" w14:paraId="630EE723" w14:textId="77777777" w:rsidTr="00185E97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A39DF" w14:textId="77777777" w:rsidR="00185E97" w:rsidRPr="000E07C9" w:rsidRDefault="00185E97" w:rsidP="00A47771">
            <w:pPr>
              <w:jc w:val="center"/>
              <w:rPr>
                <w:color w:val="000000"/>
                <w:lang w:val="en-US"/>
              </w:rPr>
            </w:pPr>
            <w:r w:rsidRPr="000E07C9">
              <w:rPr>
                <w:color w:val="000000"/>
                <w:lang w:val="en-US"/>
              </w:rPr>
              <w:t>1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E9D1" w14:textId="77777777" w:rsidR="00185E97" w:rsidRPr="000E07C9" w:rsidRDefault="00185E97" w:rsidP="00A47771">
            <w:pPr>
              <w:jc w:val="left"/>
              <w:rPr>
                <w:color w:val="000000"/>
              </w:rPr>
            </w:pPr>
            <w:r w:rsidRPr="00816916">
              <w:t xml:space="preserve">Дезинфицирующее средство для бассейна </w:t>
            </w:r>
            <w:proofErr w:type="spellStart"/>
            <w:r w:rsidRPr="00816916">
              <w:t>Aqualeon</w:t>
            </w:r>
            <w:proofErr w:type="spellEnd"/>
            <w:r w:rsidRPr="00816916">
              <w:t xml:space="preserve"> или эквивалент*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CD8A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1.Назначение: обеззараживание воды в бассейнах и аквапарках и поддержание воды в бассейнах в пределах санитарных норм; мытьё и дезинфекция санитарно-технического оборудования, кафеля, пластика, унитазов, мусорных ведер и т.д.</w:t>
            </w:r>
          </w:p>
          <w:p w14:paraId="3E822670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2. Антимикробная активность: бактерицидная, </w:t>
            </w:r>
            <w:proofErr w:type="spellStart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вирулицидная</w:t>
            </w:r>
            <w:proofErr w:type="spellEnd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активность и действие на вегетативные формы спорообразующих микроорганизмов.</w:t>
            </w:r>
          </w:p>
          <w:p w14:paraId="2209618B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3. Состав: средство представляет собой очищенный, модифицированный водный раствор гипохлорита натрия менее 15% марки А по ГОСТ 11086-76, вода, стабилизатор.</w:t>
            </w:r>
          </w:p>
          <w:p w14:paraId="5CEFD694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4.Форма выпуска: жидкое вещество на основе хлора </w:t>
            </w:r>
          </w:p>
          <w:p w14:paraId="7807D7BC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5. Качество дезинфицирующего средства соответствует следующим показателям: </w:t>
            </w:r>
          </w:p>
          <w:p w14:paraId="5FEC3DAF" w14:textId="77777777" w:rsidR="00185E97" w:rsidRPr="000E07C9" w:rsidRDefault="00185E97" w:rsidP="00A47771">
            <w:pPr>
              <w:contextualSpacing/>
              <w:rPr>
                <w:color w:val="000000"/>
                <w:kern w:val="28"/>
              </w:rPr>
            </w:pPr>
            <w:r w:rsidRPr="000E07C9">
              <w:rPr>
                <w:color w:val="000000"/>
                <w:kern w:val="28"/>
              </w:rPr>
              <w:t xml:space="preserve">- массовая концентрация активного хлора не менее 140 г/дм3;  </w:t>
            </w:r>
          </w:p>
          <w:p w14:paraId="05073C1E" w14:textId="77777777" w:rsidR="00185E97" w:rsidRPr="000E07C9" w:rsidRDefault="00185E97" w:rsidP="00A47771">
            <w:pPr>
              <w:contextualSpacing/>
              <w:rPr>
                <w:color w:val="000000"/>
                <w:kern w:val="28"/>
              </w:rPr>
            </w:pPr>
            <w:r w:rsidRPr="000E07C9">
              <w:rPr>
                <w:color w:val="000000"/>
                <w:kern w:val="28"/>
              </w:rPr>
              <w:t>- массовая концентрация железа не более 0,003 г/дм3;</w:t>
            </w:r>
          </w:p>
          <w:p w14:paraId="019A00B3" w14:textId="77777777" w:rsidR="00185E97" w:rsidRPr="000E07C9" w:rsidRDefault="00185E97" w:rsidP="00A47771">
            <w:pPr>
              <w:contextualSpacing/>
              <w:rPr>
                <w:color w:val="000000"/>
                <w:kern w:val="28"/>
              </w:rPr>
            </w:pPr>
            <w:r w:rsidRPr="000E07C9">
              <w:rPr>
                <w:color w:val="000000"/>
                <w:kern w:val="28"/>
              </w:rPr>
              <w:t>- показатель активности водородных ионов (рН) водного раствора средства с массовой долей 1% не более 11,5;</w:t>
            </w:r>
          </w:p>
          <w:p w14:paraId="0C19968B" w14:textId="77777777" w:rsidR="00185E97" w:rsidRPr="000E07C9" w:rsidRDefault="00185E97" w:rsidP="00A47771">
            <w:pPr>
              <w:contextualSpacing/>
              <w:rPr>
                <w:color w:val="000000"/>
                <w:kern w:val="28"/>
              </w:rPr>
            </w:pPr>
            <w:r w:rsidRPr="000E07C9">
              <w:rPr>
                <w:color w:val="000000"/>
                <w:kern w:val="28"/>
              </w:rPr>
              <w:t xml:space="preserve">- массовая </w:t>
            </w:r>
            <w:proofErr w:type="spellStart"/>
            <w:r w:rsidRPr="000E07C9">
              <w:rPr>
                <w:color w:val="000000"/>
                <w:kern w:val="28"/>
              </w:rPr>
              <w:t>конц</w:t>
            </w:r>
            <w:proofErr w:type="spellEnd"/>
            <w:r w:rsidRPr="000E07C9">
              <w:rPr>
                <w:color w:val="000000"/>
                <w:kern w:val="28"/>
              </w:rPr>
              <w:t xml:space="preserve">. щелочных компонентов в пересчете на </w:t>
            </w:r>
            <w:proofErr w:type="spellStart"/>
            <w:r w:rsidRPr="000E07C9">
              <w:rPr>
                <w:color w:val="000000"/>
                <w:kern w:val="28"/>
              </w:rPr>
              <w:t>NaOH</w:t>
            </w:r>
            <w:proofErr w:type="spellEnd"/>
            <w:r w:rsidRPr="000E07C9">
              <w:rPr>
                <w:color w:val="000000"/>
                <w:kern w:val="28"/>
              </w:rPr>
              <w:t xml:space="preserve"> не более 6,0 г/дм3;</w:t>
            </w:r>
          </w:p>
          <w:p w14:paraId="4CB0F8DC" w14:textId="77777777" w:rsidR="00185E97" w:rsidRPr="000E07C9" w:rsidRDefault="00185E97" w:rsidP="00A47771">
            <w:pPr>
              <w:contextualSpacing/>
              <w:rPr>
                <w:color w:val="000000"/>
                <w:kern w:val="28"/>
              </w:rPr>
            </w:pPr>
            <w:r w:rsidRPr="000E07C9">
              <w:rPr>
                <w:color w:val="000000"/>
                <w:kern w:val="28"/>
              </w:rPr>
              <w:t>- коэффициент светопропускания не менее 95 %</w:t>
            </w:r>
          </w:p>
          <w:p w14:paraId="3C47F543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6. Упаковка: </w:t>
            </w:r>
            <w:r w:rsidRPr="000E07C9">
              <w:rPr>
                <w:sz w:val="24"/>
                <w:szCs w:val="24"/>
                <w:lang w:eastAsia="en-US"/>
              </w:rPr>
              <w:t xml:space="preserve">прозрачная пластиковая канистра массой </w:t>
            </w:r>
            <w:r w:rsidRPr="000E07C9">
              <w:rPr>
                <w:color w:val="000000"/>
                <w:sz w:val="24"/>
                <w:szCs w:val="24"/>
              </w:rPr>
              <w:t>НЕТТО не менее 33 кг</w:t>
            </w:r>
            <w:r w:rsidRPr="000E07C9">
              <w:rPr>
                <w:sz w:val="24"/>
                <w:szCs w:val="24"/>
                <w:lang w:eastAsia="en-US"/>
              </w:rPr>
              <w:t>, опломбированная на заводе-изготовителе номерной пломбой</w:t>
            </w:r>
            <w:r w:rsidRPr="000E07C9">
              <w:rPr>
                <w:b w:val="0"/>
                <w:sz w:val="24"/>
                <w:szCs w:val="24"/>
                <w:lang w:eastAsia="en-US"/>
              </w:rPr>
              <w:t>;</w:t>
            </w:r>
          </w:p>
          <w:p w14:paraId="2F98EBB3" w14:textId="77777777" w:rsidR="00185E97" w:rsidRPr="000E07C9" w:rsidRDefault="00185E97" w:rsidP="00A47771">
            <w:pPr>
              <w:rPr>
                <w:color w:val="000000"/>
              </w:rPr>
            </w:pPr>
            <w:r w:rsidRPr="000E07C9">
              <w:rPr>
                <w:color w:val="000000"/>
              </w:rPr>
              <w:t>7. Цвет реагента – желтый, прозрачный;</w:t>
            </w:r>
          </w:p>
          <w:p w14:paraId="1896FC22" w14:textId="77777777" w:rsidR="00185E97" w:rsidRPr="000E07C9" w:rsidRDefault="00185E97" w:rsidP="00A47771">
            <w:pPr>
              <w:rPr>
                <w:color w:val="000000"/>
              </w:rPr>
            </w:pPr>
            <w:r w:rsidRPr="000E07C9">
              <w:rPr>
                <w:color w:val="000000"/>
              </w:rPr>
              <w:t>Гарантированный срок годности не менее 6 месяцев с даты изготовления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707A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t>252</w:t>
            </w:r>
          </w:p>
        </w:tc>
      </w:tr>
      <w:tr w:rsidR="00185E97" w:rsidRPr="000E07C9" w14:paraId="73EA1EBF" w14:textId="77777777" w:rsidTr="00185E97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1C6E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t>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552" w14:textId="77777777" w:rsidR="00185E97" w:rsidRDefault="00185E97" w:rsidP="00A47771">
            <w:pPr>
              <w:jc w:val="left"/>
            </w:pPr>
            <w:r w:rsidRPr="00816916">
              <w:t xml:space="preserve">Регулятор </w:t>
            </w:r>
            <w:proofErr w:type="spellStart"/>
            <w:r w:rsidRPr="00816916">
              <w:t>pH</w:t>
            </w:r>
            <w:proofErr w:type="spellEnd"/>
            <w:r w:rsidRPr="00816916">
              <w:t xml:space="preserve">-минус </w:t>
            </w:r>
            <w:proofErr w:type="spellStart"/>
            <w:r w:rsidRPr="00816916">
              <w:t>Aqualeon</w:t>
            </w:r>
            <w:proofErr w:type="spellEnd"/>
            <w:r w:rsidRPr="00816916">
              <w:t xml:space="preserve"> жидкое средство или эквивалент*</w:t>
            </w:r>
          </w:p>
          <w:p w14:paraId="07308112" w14:textId="77777777" w:rsidR="00185E97" w:rsidRDefault="00185E97" w:rsidP="00A47771">
            <w:pPr>
              <w:jc w:val="left"/>
            </w:pPr>
          </w:p>
          <w:p w14:paraId="6AD440B1" w14:textId="77777777" w:rsidR="00185E97" w:rsidRPr="000E07C9" w:rsidRDefault="00185E97" w:rsidP="00A47771">
            <w:pPr>
              <w:jc w:val="left"/>
              <w:rPr>
                <w:color w:val="00000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622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1.Реагент служит для понижения уровня рН в воде;</w:t>
            </w:r>
          </w:p>
          <w:p w14:paraId="256C4C7B" w14:textId="77777777" w:rsidR="00185E97" w:rsidRPr="000E07C9" w:rsidRDefault="00185E97" w:rsidP="00A47771">
            <w:pPr>
              <w:rPr>
                <w:lang w:eastAsia="en-US"/>
              </w:rPr>
            </w:pPr>
            <w:r w:rsidRPr="000E07C9">
              <w:rPr>
                <w:lang w:eastAsia="en-US"/>
              </w:rPr>
              <w:t>2. Состав:</w:t>
            </w:r>
            <w:r w:rsidRPr="000E07C9">
              <w:t xml:space="preserve"> </w:t>
            </w:r>
            <w:r w:rsidRPr="000E07C9">
              <w:rPr>
                <w:lang w:eastAsia="en-US"/>
              </w:rPr>
              <w:t>водный раствор неорганической кислоты с антикоррозийными добавками</w:t>
            </w:r>
          </w:p>
          <w:p w14:paraId="46BED457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>3.Форма выпуска: жидкость;</w:t>
            </w:r>
          </w:p>
          <w:p w14:paraId="21E4D64A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4.Цвет реагента: желтый, прозрачный;</w:t>
            </w:r>
          </w:p>
          <w:p w14:paraId="62FD8FB3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5.Растворимость при температуре </w:t>
            </w:r>
            <w:r w:rsidRPr="000E07C9">
              <w:rPr>
                <w:b w:val="0"/>
                <w:sz w:val="24"/>
                <w:szCs w:val="24"/>
              </w:rPr>
              <w:t>20</w:t>
            </w:r>
            <w:r w:rsidRPr="000E07C9">
              <w:rPr>
                <w:b w:val="0"/>
                <w:sz w:val="24"/>
                <w:szCs w:val="24"/>
                <w:vertAlign w:val="superscript"/>
              </w:rPr>
              <w:t>0</w:t>
            </w:r>
            <w:r w:rsidRPr="000E07C9">
              <w:rPr>
                <w:b w:val="0"/>
                <w:sz w:val="24"/>
                <w:szCs w:val="24"/>
              </w:rPr>
              <w:t>С</w:t>
            </w:r>
            <w:r w:rsidRPr="000E07C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100 мл/10 м3;</w:t>
            </w:r>
          </w:p>
          <w:p w14:paraId="347EB66C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6.Плотность 1,229 кг/дм куб.;</w:t>
            </w:r>
          </w:p>
          <w:p w14:paraId="7C291264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7. Упаковка: </w:t>
            </w:r>
            <w:r w:rsidRPr="000E07C9">
              <w:rPr>
                <w:sz w:val="24"/>
                <w:szCs w:val="24"/>
                <w:lang w:eastAsia="en-US"/>
              </w:rPr>
              <w:t>прозрачная пластиковая канистра массой НЕТТО</w:t>
            </w:r>
            <w:r w:rsidRPr="000E07C9">
              <w:rPr>
                <w:color w:val="000000"/>
                <w:sz w:val="24"/>
                <w:szCs w:val="24"/>
              </w:rPr>
              <w:t xml:space="preserve"> не менее 28 кг</w:t>
            </w:r>
            <w:r w:rsidRPr="000E07C9">
              <w:rPr>
                <w:sz w:val="24"/>
                <w:szCs w:val="24"/>
                <w:lang w:eastAsia="en-US"/>
              </w:rPr>
              <w:t>, опломбированная на заводе-изготовителе номерной пломбой</w:t>
            </w:r>
            <w:r w:rsidRPr="000E07C9">
              <w:rPr>
                <w:b w:val="0"/>
                <w:sz w:val="24"/>
                <w:szCs w:val="24"/>
                <w:lang w:eastAsia="en-US"/>
              </w:rPr>
              <w:t>;</w:t>
            </w:r>
          </w:p>
          <w:p w14:paraId="4EB37944" w14:textId="77777777" w:rsidR="00185E97" w:rsidRPr="000E07C9" w:rsidRDefault="00185E97" w:rsidP="00A47771">
            <w:r w:rsidRPr="000E07C9">
              <w:rPr>
                <w:color w:val="000000"/>
              </w:rPr>
              <w:t>Гарантированный срок годности не менее 12 месяцев с даты изготовления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181E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lastRenderedPageBreak/>
              <w:t>12</w:t>
            </w:r>
          </w:p>
        </w:tc>
      </w:tr>
      <w:tr w:rsidR="00185E97" w:rsidRPr="000E07C9" w14:paraId="74515E0C" w14:textId="77777777" w:rsidTr="00185E97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7C25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t>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3E5" w14:textId="77777777" w:rsidR="00185E97" w:rsidRPr="000E07C9" w:rsidRDefault="00185E97" w:rsidP="00A47771">
            <w:pPr>
              <w:jc w:val="left"/>
              <w:rPr>
                <w:color w:val="000000"/>
              </w:rPr>
            </w:pPr>
            <w:r w:rsidRPr="00816916">
              <w:rPr>
                <w:color w:val="000000"/>
              </w:rPr>
              <w:t xml:space="preserve">Альгицид </w:t>
            </w:r>
            <w:proofErr w:type="spellStart"/>
            <w:r w:rsidRPr="00816916">
              <w:rPr>
                <w:color w:val="000000"/>
              </w:rPr>
              <w:t>Aqualeon</w:t>
            </w:r>
            <w:proofErr w:type="spellEnd"/>
            <w:r w:rsidRPr="00816916">
              <w:rPr>
                <w:color w:val="000000"/>
              </w:rPr>
              <w:t xml:space="preserve"> </w:t>
            </w:r>
            <w:proofErr w:type="spellStart"/>
            <w:r w:rsidRPr="00816916">
              <w:rPr>
                <w:color w:val="000000"/>
              </w:rPr>
              <w:t>непенящийся</w:t>
            </w:r>
            <w:proofErr w:type="spellEnd"/>
            <w:r w:rsidRPr="00816916">
              <w:rPr>
                <w:color w:val="000000"/>
              </w:rPr>
              <w:t xml:space="preserve"> пролонгированного действия или эквивалент*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AD29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1.Назначение</w:t>
            </w:r>
            <w:proofErr w:type="gramStart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: Уничтожает</w:t>
            </w:r>
            <w:proofErr w:type="gramEnd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водоросли в бассейне и предупреждает их образование. Эффективно в течение длительного времени.</w:t>
            </w:r>
          </w:p>
          <w:p w14:paraId="630E9FC3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2.Состав</w:t>
            </w:r>
            <w:proofErr w:type="gramStart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: Содержит</w:t>
            </w:r>
            <w:proofErr w:type="gramEnd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водный раствор полимерной четвертичной аммониевой соли, комплексное соединение меди. Быстродействующий компонент, содержащий азот с сильными бактерицидными, </w:t>
            </w:r>
            <w:proofErr w:type="spellStart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фунгицидными</w:t>
            </w:r>
            <w:proofErr w:type="spellEnd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альгицидными</w:t>
            </w:r>
            <w:proofErr w:type="spellEnd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действиями, вводимый для уничтожения водорослей;</w:t>
            </w:r>
          </w:p>
          <w:p w14:paraId="4313D993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3.Форма выпуска – жидкость;</w:t>
            </w:r>
          </w:p>
          <w:p w14:paraId="6B8EBF28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4.Цвет реагента – синий;</w:t>
            </w:r>
          </w:p>
          <w:p w14:paraId="5E484ACE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5.рН (1% раствор) – 7,1 моль/л;</w:t>
            </w:r>
          </w:p>
          <w:p w14:paraId="166AA29F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6.Плотность: 1 г/</w:t>
            </w:r>
            <w:proofErr w:type="spellStart"/>
            <w:proofErr w:type="gramStart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куб.см</w:t>
            </w:r>
            <w:proofErr w:type="spellEnd"/>
            <w:proofErr w:type="gramEnd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14:paraId="13ED62D0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425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7. Упаковка: </w:t>
            </w:r>
            <w:r w:rsidRPr="000E07C9">
              <w:rPr>
                <w:color w:val="000000"/>
                <w:sz w:val="24"/>
                <w:szCs w:val="24"/>
                <w:lang w:eastAsia="en-US"/>
              </w:rPr>
              <w:t>прозрачная пластиковая канистра м</w:t>
            </w:r>
            <w:r w:rsidRPr="000E07C9">
              <w:rPr>
                <w:color w:val="000000"/>
                <w:sz w:val="24"/>
                <w:szCs w:val="24"/>
              </w:rPr>
              <w:t>ассой НЕТТО не менее 30 кг</w:t>
            </w:r>
            <w:r w:rsidRPr="000E07C9">
              <w:rPr>
                <w:color w:val="000000"/>
                <w:sz w:val="24"/>
                <w:szCs w:val="24"/>
                <w:lang w:eastAsia="en-US"/>
              </w:rPr>
              <w:t>, опломбированная на заводе-изготовителе номерной пломбой</w:t>
            </w: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14:paraId="14F4901E" w14:textId="77777777" w:rsidR="00185E97" w:rsidRPr="000E07C9" w:rsidRDefault="00185E97" w:rsidP="00A47771">
            <w:pPr>
              <w:rPr>
                <w:color w:val="000000"/>
              </w:rPr>
            </w:pPr>
            <w:r w:rsidRPr="000E07C9">
              <w:rPr>
                <w:color w:val="000000"/>
              </w:rPr>
              <w:t>Гарантированный срок годности не менее 18 месяцев с даты изготовления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9E7A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t>12</w:t>
            </w:r>
          </w:p>
        </w:tc>
      </w:tr>
      <w:tr w:rsidR="00185E97" w:rsidRPr="000E07C9" w14:paraId="57E93931" w14:textId="77777777" w:rsidTr="00185E97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E73F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4384" w14:textId="77777777" w:rsidR="00185E97" w:rsidRPr="000E07C9" w:rsidRDefault="00185E97" w:rsidP="00A47771">
            <w:pPr>
              <w:jc w:val="left"/>
              <w:rPr>
                <w:color w:val="000000"/>
              </w:rPr>
            </w:pPr>
            <w:r w:rsidRPr="000E07C9">
              <w:t xml:space="preserve">Коагулянт жидкий </w:t>
            </w:r>
            <w:proofErr w:type="spellStart"/>
            <w:r w:rsidRPr="00C70D9E">
              <w:t>Aqualeon</w:t>
            </w:r>
            <w:proofErr w:type="spellEnd"/>
            <w:r>
              <w:t xml:space="preserve"> или </w:t>
            </w:r>
            <w:r w:rsidRPr="00C70D9E">
              <w:t>эквивалент*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DA86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1.Назначение: предназначен для очист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ки воды плавательных бассейнов.</w:t>
            </w:r>
          </w:p>
          <w:p w14:paraId="493709AA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2.Состав: водный раствор </w:t>
            </w:r>
            <w:proofErr w:type="spellStart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полиоксихлорида</w:t>
            </w:r>
            <w:proofErr w:type="spellEnd"/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алюминия</w:t>
            </w:r>
          </w:p>
          <w:p w14:paraId="5F7AA76E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3.Форма выпуска – жидкость;</w:t>
            </w:r>
          </w:p>
          <w:p w14:paraId="7F761DA5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4.Цвет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реагента – желтый, прозрачный;</w:t>
            </w:r>
          </w:p>
          <w:p w14:paraId="715C385A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5.рН (водородный показатель) – 2,3;</w:t>
            </w:r>
          </w:p>
          <w:p w14:paraId="79EAC6CF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6.</w:t>
            </w:r>
            <w:r w:rsidRPr="000E07C9">
              <w:rPr>
                <w:b w:val="0"/>
                <w:color w:val="000000"/>
                <w:sz w:val="24"/>
                <w:szCs w:val="24"/>
              </w:rPr>
              <w:t xml:space="preserve"> массовая доля железа не более 0,003 %</w:t>
            </w: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14:paraId="3ED9E59D" w14:textId="77777777" w:rsidR="00185E97" w:rsidRPr="000E07C9" w:rsidRDefault="00185E97" w:rsidP="00A4777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425"/>
              </w:tabs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7. Упаковка: </w:t>
            </w:r>
            <w:r w:rsidRPr="000E07C9">
              <w:rPr>
                <w:color w:val="000000"/>
                <w:sz w:val="24"/>
                <w:szCs w:val="24"/>
                <w:lang w:eastAsia="en-US"/>
              </w:rPr>
              <w:t>прозрачная пластиковая канистра м</w:t>
            </w:r>
            <w:r w:rsidRPr="000E07C9">
              <w:rPr>
                <w:color w:val="000000"/>
                <w:sz w:val="24"/>
                <w:szCs w:val="24"/>
              </w:rPr>
              <w:t>ассой НЕТТО не менее 35 кг</w:t>
            </w:r>
            <w:r w:rsidRPr="000E07C9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E07C9">
              <w:rPr>
                <w:color w:val="000000"/>
                <w:sz w:val="24"/>
                <w:szCs w:val="24"/>
                <w:lang w:eastAsia="en-US"/>
              </w:rPr>
              <w:lastRenderedPageBreak/>
              <w:t>опломбированная на заводе-изготовителе номерной пломбой</w:t>
            </w:r>
            <w:r w:rsidRPr="000E07C9"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14:paraId="484A9FF6" w14:textId="77777777" w:rsidR="00185E97" w:rsidRPr="000E07C9" w:rsidRDefault="00185E97" w:rsidP="00A47771">
            <w:pPr>
              <w:rPr>
                <w:color w:val="000000"/>
              </w:rPr>
            </w:pPr>
            <w:r w:rsidRPr="000E07C9">
              <w:rPr>
                <w:color w:val="000000"/>
              </w:rPr>
              <w:t>Гарантированный срок годности не менее 12 месяцев с даты изготовления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7BB" w14:textId="77777777" w:rsidR="00185E97" w:rsidRPr="000E07C9" w:rsidRDefault="00185E97" w:rsidP="00A47771">
            <w:pPr>
              <w:jc w:val="center"/>
              <w:rPr>
                <w:color w:val="000000"/>
              </w:rPr>
            </w:pPr>
            <w:r w:rsidRPr="000E07C9">
              <w:rPr>
                <w:color w:val="000000"/>
              </w:rPr>
              <w:lastRenderedPageBreak/>
              <w:t>12</w:t>
            </w:r>
          </w:p>
        </w:tc>
      </w:tr>
    </w:tbl>
    <w:p w14:paraId="50CD43FA" w14:textId="77777777" w:rsidR="00185E97" w:rsidRDefault="00185E97" w:rsidP="00185E97">
      <w:pPr>
        <w:ind w:left="567" w:right="-365" w:firstLine="567"/>
      </w:pPr>
      <w:r>
        <w:t xml:space="preserve">*Участник закупки должен принять во внимание, что ссылки в документации по закупке на товарные знаки, знаки обслуживания, фирменные наименования, патенты, полезные модели, промышленные образцы, наименование места лишь рекомендательный, а не обязательный характер. </w:t>
      </w:r>
    </w:p>
    <w:p w14:paraId="6DB5B358" w14:textId="77777777" w:rsidR="00185E97" w:rsidRPr="008B5A4D" w:rsidRDefault="00185E97" w:rsidP="00185E97">
      <w:pPr>
        <w:ind w:left="567" w:right="-365" w:firstLine="567"/>
      </w:pPr>
      <w:r>
        <w:t xml:space="preserve">Участник закупки может предоставить в своей заявке на участие в закупки иные товарные знаки, знаки обслуживания, фирменные наименования, производители, при условии, что произведенные замены совместимы между собой, </w:t>
      </w:r>
      <w:proofErr w:type="gramStart"/>
      <w:r>
        <w:t>по существу</w:t>
      </w:r>
      <w:proofErr w:type="gramEnd"/>
      <w:r>
        <w:t xml:space="preserve"> равноценны (ЭКВИВАЛЕНТНЫ) или превосходят по качеству товар, указанный в технических условиях (АНАЛОГИ). Участник процедуры предлагающий «эквивалент» либо «аналог» должен предоставить с заявкой полное техническое описание предлагаемой продукции, указать завод-изготовитель и предложить соответствующие технические условия завода-изготовителя.</w:t>
      </w:r>
    </w:p>
    <w:p w14:paraId="6EAE3BE4" w14:textId="77777777" w:rsidR="00185E97" w:rsidRDefault="00185E97" w:rsidP="00185E97">
      <w:pPr>
        <w:ind w:left="72" w:right="-365" w:firstLine="246"/>
        <w:rPr>
          <w:b/>
          <w:sz w:val="20"/>
          <w:szCs w:val="20"/>
        </w:rPr>
      </w:pPr>
    </w:p>
    <w:p w14:paraId="2D3C7CA9" w14:textId="77777777" w:rsidR="00185E97" w:rsidRDefault="00185E97" w:rsidP="00185E97">
      <w:pPr>
        <w:ind w:left="72" w:right="-365" w:firstLine="246"/>
      </w:pPr>
      <w:r w:rsidRPr="008B5A4D">
        <w:rPr>
          <w:b/>
        </w:rPr>
        <w:t>Требования к качеству и безопасности поставляемого товара:</w:t>
      </w:r>
      <w:r w:rsidRPr="008B5A4D">
        <w:t xml:space="preserve"> </w:t>
      </w:r>
    </w:p>
    <w:p w14:paraId="0487295A" w14:textId="77777777" w:rsidR="00185E97" w:rsidRPr="008B5A4D" w:rsidRDefault="00185E97" w:rsidP="00185E97">
      <w:pPr>
        <w:pStyle w:val="3"/>
        <w:numPr>
          <w:ilvl w:val="3"/>
          <w:numId w:val="3"/>
        </w:numPr>
        <w:tabs>
          <w:tab w:val="clear" w:pos="3240"/>
          <w:tab w:val="num" w:pos="360"/>
        </w:tabs>
        <w:ind w:left="567" w:firstLine="567"/>
        <w:rPr>
          <w:bCs/>
          <w:szCs w:val="24"/>
        </w:rPr>
      </w:pPr>
      <w:r w:rsidRPr="008B5A4D">
        <w:rPr>
          <w:szCs w:val="24"/>
        </w:rPr>
        <w:t>Качество и безопасность поставляемых товаров должно соответствовать требованиям, установленным Заказчиком, ГОСТ Р 53491.1-2009 «Бассейны. Подготовка воды. Часть 1. Общие требования»; ГОСТ 12.1.007-76 «Вредные вещества. Классификация и общие требования безопасности»; нормативными правовыми актами и иными документами, устанавливающими требования к качеству и безопасности подобных товаров.</w:t>
      </w:r>
    </w:p>
    <w:p w14:paraId="504A1FE3" w14:textId="77777777" w:rsidR="00185E97" w:rsidRPr="008B5A4D" w:rsidRDefault="00185E97" w:rsidP="00185E97">
      <w:pPr>
        <w:pStyle w:val="3"/>
        <w:numPr>
          <w:ilvl w:val="3"/>
          <w:numId w:val="3"/>
        </w:numPr>
        <w:tabs>
          <w:tab w:val="clear" w:pos="3240"/>
          <w:tab w:val="num" w:pos="360"/>
        </w:tabs>
        <w:ind w:left="567" w:firstLine="567"/>
        <w:rPr>
          <w:bCs/>
          <w:szCs w:val="24"/>
        </w:rPr>
      </w:pPr>
      <w:r w:rsidRPr="008B5A4D">
        <w:rPr>
          <w:szCs w:val="24"/>
        </w:rPr>
        <w:t xml:space="preserve">В случае если поставляемые реагенты не входят в "Перечень материалов, реагентов и малогабаритных очистных устройств, разрешенных Государственным комитетом санитарно-эпидемиологического надзора Российской Федерации для применения в практике хозяйственно-питьевого водоснабжения" (утв. Госкомсанэпиднадзором РФ 23.10.1992 N 01-19/32-11), они должны иметь </w:t>
      </w:r>
      <w:r w:rsidRPr="008B5A4D">
        <w:rPr>
          <w:bCs/>
          <w:szCs w:val="24"/>
        </w:rPr>
        <w:t>государственное регистрационное свидетельство</w:t>
      </w:r>
      <w:r w:rsidRPr="008B5A4D">
        <w:rPr>
          <w:szCs w:val="24"/>
        </w:rPr>
        <w:t>.</w:t>
      </w:r>
    </w:p>
    <w:p w14:paraId="46B6182A" w14:textId="77777777" w:rsidR="00185E97" w:rsidRPr="008B5A4D" w:rsidRDefault="00185E97" w:rsidP="00185E97">
      <w:pPr>
        <w:pStyle w:val="3"/>
        <w:numPr>
          <w:ilvl w:val="3"/>
          <w:numId w:val="3"/>
        </w:numPr>
        <w:tabs>
          <w:tab w:val="clear" w:pos="3240"/>
          <w:tab w:val="num" w:pos="360"/>
        </w:tabs>
        <w:ind w:left="567" w:firstLine="567"/>
        <w:rPr>
          <w:bCs/>
          <w:szCs w:val="24"/>
        </w:rPr>
      </w:pPr>
      <w:r w:rsidRPr="008B5A4D">
        <w:rPr>
          <w:bCs/>
          <w:szCs w:val="24"/>
        </w:rPr>
        <w:t>При поставке качество товара должно подтверждаться сертификатами соответствия на продукцию, в случае если поставляемые реагенты не входят в Перечень, указанный в п.2 настоящей части, копией государственного регистрационного свидетельства.</w:t>
      </w:r>
    </w:p>
    <w:p w14:paraId="52C9CEC9" w14:textId="77777777" w:rsidR="00185E97" w:rsidRPr="008B5A4D" w:rsidRDefault="00185E97" w:rsidP="00185E97">
      <w:pPr>
        <w:pStyle w:val="3"/>
        <w:numPr>
          <w:ilvl w:val="3"/>
          <w:numId w:val="3"/>
        </w:numPr>
        <w:tabs>
          <w:tab w:val="clear" w:pos="3240"/>
          <w:tab w:val="num" w:pos="360"/>
        </w:tabs>
        <w:ind w:left="567" w:firstLine="567"/>
        <w:rPr>
          <w:szCs w:val="24"/>
        </w:rPr>
      </w:pPr>
      <w:r w:rsidRPr="008B5A4D">
        <w:rPr>
          <w:szCs w:val="24"/>
        </w:rPr>
        <w:t>Товар должен быть новым, ранее не использованным.</w:t>
      </w:r>
    </w:p>
    <w:p w14:paraId="230ED275" w14:textId="77777777" w:rsidR="00185E97" w:rsidRPr="008B5A4D" w:rsidRDefault="00185E97" w:rsidP="00185E97">
      <w:pPr>
        <w:pStyle w:val="3"/>
        <w:numPr>
          <w:ilvl w:val="3"/>
          <w:numId w:val="3"/>
        </w:numPr>
        <w:tabs>
          <w:tab w:val="clear" w:pos="3240"/>
          <w:tab w:val="num" w:pos="360"/>
        </w:tabs>
        <w:ind w:left="567" w:firstLine="567"/>
        <w:rPr>
          <w:szCs w:val="24"/>
        </w:rPr>
      </w:pPr>
      <w:r w:rsidRPr="008B5A4D">
        <w:rPr>
          <w:szCs w:val="24"/>
        </w:rPr>
        <w:t>В зимний период Товар не должен быть замерзшим и должен быть сразу готовым к применению.</w:t>
      </w:r>
    </w:p>
    <w:p w14:paraId="43A41AEA" w14:textId="77777777" w:rsidR="007C07A6" w:rsidRPr="00185E97" w:rsidRDefault="007C07A6" w:rsidP="00185E97"/>
    <w:sectPr w:rsidR="007C07A6" w:rsidRPr="00185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25B1" w14:textId="77777777" w:rsidR="00D25FFC" w:rsidRDefault="00D25FFC" w:rsidP="007C07A6">
      <w:r>
        <w:separator/>
      </w:r>
    </w:p>
  </w:endnote>
  <w:endnote w:type="continuationSeparator" w:id="0">
    <w:p w14:paraId="09A36913" w14:textId="77777777" w:rsidR="00D25FFC" w:rsidRDefault="00D25FFC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BE76" w14:textId="77777777" w:rsidR="00D25FFC" w:rsidRDefault="00D25FFC" w:rsidP="007C07A6">
      <w:r>
        <w:separator/>
      </w:r>
    </w:p>
  </w:footnote>
  <w:footnote w:type="continuationSeparator" w:id="0">
    <w:p w14:paraId="2F065DD1" w14:textId="77777777" w:rsidR="00D25FFC" w:rsidRDefault="00D25FFC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C78"/>
    <w:multiLevelType w:val="hybridMultilevel"/>
    <w:tmpl w:val="0A78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40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0305638"/>
    <w:multiLevelType w:val="hybridMultilevel"/>
    <w:tmpl w:val="D9EE3542"/>
    <w:lvl w:ilvl="0" w:tplc="0DC2073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1E9824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A86EC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E7AF44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99C9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022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5721D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C69B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74231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B3374"/>
    <w:rsid w:val="00185E97"/>
    <w:rsid w:val="00206075"/>
    <w:rsid w:val="007C07A6"/>
    <w:rsid w:val="0090525C"/>
    <w:rsid w:val="00977C76"/>
    <w:rsid w:val="00D25FFC"/>
    <w:rsid w:val="00D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85E97"/>
    <w:pPr>
      <w:keepNext/>
      <w:numPr>
        <w:numId w:val="2"/>
      </w:numPr>
      <w:spacing w:before="240" w:after="60"/>
      <w:jc w:val="center"/>
      <w:outlineLvl w:val="0"/>
    </w:pPr>
    <w:rPr>
      <w:rFonts w:eastAsiaTheme="minorEastAsia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185E97"/>
    <w:rPr>
      <w:rFonts w:ascii="Times New Roman" w:hAnsi="Times New Roman" w:cs="Times New Roman"/>
      <w:b/>
      <w:kern w:val="28"/>
      <w:sz w:val="36"/>
      <w:szCs w:val="20"/>
      <w:lang w:val="ru-RU" w:eastAsia="ru-RU"/>
    </w:rPr>
  </w:style>
  <w:style w:type="paragraph" w:customStyle="1" w:styleId="3">
    <w:name w:val="Стиль3"/>
    <w:basedOn w:val="a"/>
    <w:uiPriority w:val="99"/>
    <w:rsid w:val="00185E97"/>
    <w:pPr>
      <w:widowControl w:val="0"/>
      <w:tabs>
        <w:tab w:val="num" w:pos="0"/>
      </w:tabs>
      <w:adjustRightInd w:val="0"/>
    </w:pPr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4</cp:revision>
  <dcterms:created xsi:type="dcterms:W3CDTF">2022-04-22T11:30:00Z</dcterms:created>
  <dcterms:modified xsi:type="dcterms:W3CDTF">2022-04-25T11:23:00Z</dcterms:modified>
</cp:coreProperties>
</file>